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[ŞİRKET ADI]</w:t>
      </w:r>
    </w:p>
    <w:p>
      <w:pPr>
        <w:pStyle w:val="Title"/>
      </w:pPr>
      <w:r>
        <w:t xml:space="preserve">TEMİZLİK PLANI VE UYGULAMA PROSEDÜRÜ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Doküman no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Revizyon no /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Yürürlük tarihi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Hazırlayan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Onaylayan</w:t>
            </w:r>
          </w:p>
        </w:tc>
        <w:tc>
          <w:tcPr>
            <w:tcW w:w="6000" w:type="dxa"/>
          </w:tcPr>
          <w:p>
            <w: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1. Amaç</w:t>
      </w:r>
    </w:p>
    <w:p>
      <w:r>
        <w:t xml:space="preserve">İşyeri bina ve eklentilerinin hijyenik koşullarda tutulmasını; temizlik işlerinin plana göre, güvenli malzeme ve yöntemle yapılmasını ve kayıt altına alınmasını sağlamak.</w:t>
      </w:r>
    </w:p>
    <w:p>
      <w:pPr>
        <w:pStyle w:val="Heading1"/>
      </w:pPr>
      <w:r>
        <w:t xml:space="preserve">2. Kapsam</w:t>
      </w:r>
    </w:p>
    <w:p>
      <w:r>
        <w:t xml:space="preserve">Ofis, toplantı odaları, tuvalet ve lavabolar, yemekhane ve mutfak dışı ortak alanlar, soyunma odaları, koridor ve merdivenler, dış alanlar; temizliği yapan şirket çalışanları ya da hizmet alınan temizlik firması.</w:t>
      </w:r>
    </w:p>
    <w:p>
      <w:pPr>
        <w:pStyle w:val="Heading1"/>
      </w:pPr>
      <w:r>
        <w:t xml:space="preserve">3. Tanımlar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Alan sınıfı</w:t>
            </w:r>
          </w:p>
        </w:tc>
        <w:tc>
          <w:tcPr>
            <w:tcW w:w="6000" w:type="dxa"/>
          </w:tcPr>
          <w:p>
            <w:r>
              <w:t xml:space="preserve">Alanın kullanım yoğunluğuna ve hijyen riskine göre belirlenen grup (örnek: yüksek riskli, yoğun kullanılan, standart).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Temizlik planı</w:t>
            </w:r>
          </w:p>
        </w:tc>
        <w:tc>
          <w:tcPr>
            <w:tcW w:w="6000" w:type="dxa"/>
          </w:tcPr>
          <w:p>
            <w:r>
              <w:t xml:space="preserve">Her alan için yapılacak işi, sıklığı, sorumluyu ve kullanılacak malzemeyi gösteren tablo.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Kontrol çizelgesi</w:t>
            </w:r>
          </w:p>
        </w:tc>
        <w:tc>
          <w:tcPr>
            <w:tcW w:w="6000" w:type="dxa"/>
          </w:tcPr>
          <w:p>
            <w:r>
              <w:t xml:space="preserve">Alanın girişine asılan, yapılan temizliğin saat ve imzayla işlendiği form.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Güvenlik bilgi formu (GBF)</w:t>
            </w:r>
          </w:p>
        </w:tc>
        <w:tc>
          <w:tcPr>
            <w:tcW w:w="6000" w:type="dxa"/>
          </w:tcPr>
          <w:p>
            <w:r>
              <w:t xml:space="preserve">Kimyasalın tehlikelerini, kullanım ve depolama koşullarını ve ilk yardımı anlatan, tedarikçiden alınan Türkçe belge.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4. Sorumluluklar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İdari işler</w:t>
            </w:r>
          </w:p>
        </w:tc>
        <w:tc>
          <w:tcPr>
            <w:tcW w:w="6000" w:type="dxa"/>
          </w:tcPr>
          <w:p>
            <w:r>
              <w:t xml:space="preserve">Temizlik planını hazırlar ve günceller; malzeme ve kimyasal tedarikini, denetimi ve kayıtların saklanmasını yönetir.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Temizlik ekibi / firma sorumlusu</w:t>
            </w:r>
          </w:p>
        </w:tc>
        <w:tc>
          <w:tcPr>
            <w:tcW w:w="6000" w:type="dxa"/>
          </w:tcPr>
          <w:p>
            <w:r>
              <w:t xml:space="preserve">Planı uygular, kontrol çizelgelerini doldurur, eksik malzemeyi ve arızayı bildirir.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İSG birimi</w:t>
            </w:r>
          </w:p>
        </w:tc>
        <w:tc>
          <w:tcPr>
            <w:tcW w:w="6000" w:type="dxa"/>
          </w:tcPr>
          <w:p>
            <w:r>
              <w:t xml:space="preserve">Kimyasalların risk değerlendirmesini yapar, kişisel koruyucu donanımı belirler, eğitim verir.</w:t>
            </w:r>
          </w:p>
        </w:tc>
      </w:tr>
      <w:tr>
        <w:tc>
          <w:tcPr>
            <w:tcW w:w="3000" w:type="dxa"/>
          </w:tcPr>
          <w:p>
            <w:r>
              <w:rPr>
                <w:b/>
              </w:rPr>
              <w:t xml:space="preserve">Çalışanlar</w:t>
            </w:r>
          </w:p>
        </w:tc>
        <w:tc>
          <w:tcPr>
            <w:tcW w:w="6000" w:type="dxa"/>
          </w:tcPr>
          <w:p>
            <w:r>
              <w:t xml:space="preserve">Ortak alanları temiz kullanır, temizlik ve arıza ihtiyacını belirlenen kanaldan bildirir.</w:t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5. Uygulama</w:t>
      </w:r>
    </w:p>
    <w:p>
      <w:pPr>
        <w:pStyle w:val="Heading2"/>
      </w:pPr>
      <w:r>
        <w:t xml:space="preserve">5.1. Alan listesi ve sınıflama</w:t>
      </w:r>
    </w:p>
    <w:p>
      <w:r>
        <w:rPr>
          <w:b/>
        </w:rPr>
        <w:t xml:space="preserve">5.1.1. </w:t>
      </w:r>
      <w:r>
        <w:t xml:space="preserve">Tüm alanlar lokasyon ve kat bazında listelenir.</w:t>
      </w:r>
    </w:p>
    <w:p>
      <w:r>
        <w:rPr>
          <w:b/>
        </w:rPr>
        <w:t xml:space="preserve">5.1.2. </w:t>
      </w:r>
      <w:r>
        <w:t xml:space="preserve">Örnek sınıflar: yüksek riskli (tuvalet, lavabo, revir, yemekhane), yoğun kullanılan (giriş, koridor, asansör, toplantı odaları), standart (ofis, arşiv).</w:t>
      </w:r>
    </w:p>
    <w:p>
      <w:pPr>
        <w:pStyle w:val="Heading2"/>
      </w:pPr>
      <w:r>
        <w:t xml:space="preserve">5.2. Sıklık tablosu</w:t>
      </w:r>
    </w:p>
    <w:p>
      <w:r>
        <w:rPr>
          <w:b/>
        </w:rPr>
        <w:t xml:space="preserve">5.2.1. </w:t>
      </w:r>
      <w:r>
        <w:t xml:space="preserve">Örnek sıklıklar (şirketinize göre değiştirin): tuvalet ve lavabolar günde en az 3 kez ve saatlik kontrol; giriş, koridor ve asansör günde 2 kez; ofis ve toplantı odaları günde 1 kez; cam, halı yıkama ve derin temizlik ayda ya da üç ayda bir.</w:t>
      </w:r>
    </w:p>
    <w:p>
      <w:r>
        <w:rPr>
          <w:b/>
        </w:rPr>
        <w:t xml:space="preserve">5.2.2. </w:t>
      </w:r>
      <w:r>
        <w:t xml:space="preserve">Havalandırma menfezleri ve filtreleri bakım planıyla birlikte düzenli temizlenir.</w:t>
      </w:r>
    </w:p>
    <w:p>
      <w:pPr>
        <w:pStyle w:val="Heading2"/>
      </w:pPr>
      <w:r>
        <w:t xml:space="preserve">5.3. Malzeme ve renk kodu</w:t>
      </w:r>
    </w:p>
    <w:p>
      <w:r>
        <w:rPr>
          <w:b/>
        </w:rPr>
        <w:t xml:space="preserve">5.3.1. </w:t>
      </w:r>
      <w:r>
        <w:t xml:space="preserve">Çapraz bulaşmayı önlemek için renk kodlu bez ve kova kullanılır. Örnek: kırmızı tuvalet ve pisuvar; sarı lavabo ve fayans; mavi ofis ve genel yüzey; yeşil mutfak ve yemek alanı.</w:t>
      </w:r>
    </w:p>
    <w:p>
      <w:r>
        <w:rPr>
          <w:b/>
        </w:rPr>
        <w:t xml:space="preserve">5.3.2. </w:t>
      </w:r>
      <w:r>
        <w:t xml:space="preserve">Temizlik malzemesinin stoku izlenir; azalan malzeme için talep açılır.</w:t>
      </w:r>
    </w:p>
    <w:p>
      <w:pPr>
        <w:pStyle w:val="Heading2"/>
      </w:pPr>
      <w:r>
        <w:t xml:space="preserve">5.4. Kimyasal kullanımı</w:t>
      </w:r>
    </w:p>
    <w:p>
      <w:r>
        <w:rPr>
          <w:b/>
        </w:rPr>
        <w:t xml:space="preserve">5.4.1. </w:t>
      </w:r>
      <w:r>
        <w:t xml:space="preserve">Yalnızca tedarikçiden Türkçe güvenlik bilgi formu alınan kimyasallar kullanılır; formlar temizlik odasında erişilebilir tutulur.</w:t>
      </w:r>
    </w:p>
    <w:p>
      <w:r>
        <w:rPr>
          <w:b/>
        </w:rPr>
        <w:t xml:space="preserve">5.4.2. </w:t>
      </w:r>
      <w:r>
        <w:t xml:space="preserve">Kimyasallar orijinal ve etiketli kaplarda, ventilasyonlu ve kilitli bir alanda saklanır; boşaltılan kaplara etiketsiz başka madde konmaz.</w:t>
      </w:r>
    </w:p>
    <w:p>
      <w:r>
        <w:rPr>
          <w:b/>
        </w:rPr>
        <w:t xml:space="preserve">5.4.3. </w:t>
      </w:r>
      <w:r>
        <w:t xml:space="preserve">Kimyasallar birbirine karıştırılmaz (örnek: çamaşır suyu ile asit içerikli temizleyiciler).</w:t>
      </w:r>
    </w:p>
    <w:p>
      <w:r>
        <w:rPr>
          <w:b/>
        </w:rPr>
        <w:t xml:space="preserve">5.4.4. </w:t>
      </w:r>
      <w:r>
        <w:t xml:space="preserve">Eldiven, gerektiğinde gözlük ve maske gibi kişisel koruyucu donanım kullanılır.</w:t>
      </w:r>
    </w:p>
    <w:p>
      <w:pPr>
        <w:pStyle w:val="Heading2"/>
      </w:pPr>
      <w:r>
        <w:t xml:space="preserve">5.5. Uygulama ve kayıt</w:t>
      </w:r>
    </w:p>
    <w:p>
      <w:r>
        <w:rPr>
          <w:b/>
        </w:rPr>
        <w:t xml:space="preserve">5.5.1. </w:t>
      </w:r>
      <w:r>
        <w:t xml:space="preserve">Her alanın girişinde kontrol çizelgesi bulunur; temizlik saat ve imzayla işlenir.</w:t>
      </w:r>
    </w:p>
    <w:p>
      <w:r>
        <w:rPr>
          <w:b/>
        </w:rPr>
        <w:t xml:space="preserve">5.5.2. </w:t>
      </w:r>
      <w:r>
        <w:t xml:space="preserve">Islak zemin uyarı levhası temizlik süresince yerinde tutulur.</w:t>
      </w:r>
    </w:p>
    <w:p>
      <w:r>
        <w:rPr>
          <w:b/>
        </w:rPr>
        <w:t xml:space="preserve">5.5.3. </w:t>
      </w:r>
      <w:r>
        <w:t xml:space="preserve">Çalışan şikâyeti ya da ek temizlik ihtiyacı talep kanalından alınır ve kapanışı kaydedilir.</w:t>
      </w:r>
    </w:p>
    <w:p>
      <w:pPr>
        <w:pStyle w:val="Heading2"/>
      </w:pPr>
      <w:r>
        <w:t xml:space="preserve">5.6. Atık</w:t>
      </w:r>
    </w:p>
    <w:p>
      <w:r>
        <w:rPr>
          <w:b/>
        </w:rPr>
        <w:t xml:space="preserve">5.6.1. </w:t>
      </w:r>
      <w:r>
        <w:t xml:space="preserve">Atıklar ayrıştırılarak (ambalaj, organik, evsel) toplanır; çöp kutuları günde en az bir kez boşaltılır.</w:t>
      </w:r>
    </w:p>
    <w:p>
      <w:r>
        <w:rPr>
          <w:b/>
        </w:rPr>
        <w:t xml:space="preserve">5.6.2. </w:t>
      </w:r>
      <w:r>
        <w:t xml:space="preserve">Kimyasal ambalajları ve tehlikeli atıklar ayrı toplanır ve yetkili firmaya verilir.</w:t>
      </w:r>
    </w:p>
    <w:p>
      <w:pPr>
        <w:pStyle w:val="Heading2"/>
      </w:pPr>
      <w:r>
        <w:t xml:space="preserve">5.7. Kontrol</w:t>
      </w:r>
    </w:p>
    <w:p>
      <w:r>
        <w:rPr>
          <w:b/>
        </w:rPr>
        <w:t xml:space="preserve">5.7.1. </w:t>
      </w:r>
      <w:r>
        <w:t xml:space="preserve">Temizlik, belirli aralıklarla denetim formuyla kontrol edilir (bkz. temizlik hizmeti denetim prosedürü).</w:t>
      </w:r>
    </w:p>
    <w:p>
      <w:pPr>
        <w:pStyle w:val="Heading1"/>
      </w:pPr>
      <w:r>
        <w:t xml:space="preserve">6. Kayıtlar</w:t>
      </w:r>
    </w:p>
    <w:p>
      <w:r>
        <w:rPr>
          <w:b/>
        </w:rPr>
        <w:t xml:space="preserve">• </w:t>
      </w:r>
      <w:r>
        <w:t xml:space="preserve">Alan listesi ve temizlik planı (sıklık tablosu)</w:t>
      </w:r>
    </w:p>
    <w:p>
      <w:r>
        <w:rPr>
          <w:b/>
        </w:rPr>
        <w:t xml:space="preserve">• </w:t>
      </w:r>
      <w:r>
        <w:t xml:space="preserve">Alan kontrol çizelgeleri</w:t>
      </w:r>
    </w:p>
    <w:p>
      <w:r>
        <w:rPr>
          <w:b/>
        </w:rPr>
        <w:t xml:space="preserve">• </w:t>
      </w:r>
      <w:r>
        <w:t xml:space="preserve">Kimyasal listesi ve güvenlik bilgi formları</w:t>
      </w:r>
    </w:p>
    <w:p>
      <w:r>
        <w:rPr>
          <w:b/>
        </w:rPr>
        <w:t xml:space="preserve">• </w:t>
      </w:r>
      <w:r>
        <w:t xml:space="preserve">Temizlik malzemesi stok ve talep kayıtları</w:t>
      </w:r>
    </w:p>
    <w:p>
      <w:r>
        <w:rPr>
          <w:b/>
        </w:rPr>
        <w:t xml:space="preserve">• </w:t>
      </w:r>
      <w:r>
        <w:t xml:space="preserve">Eğitim kayıtları</w:t>
      </w:r>
    </w:p>
    <w:p>
      <w:pPr>
        <w:pStyle w:val="Heading1"/>
      </w:pPr>
      <w:r>
        <w:t xml:space="preserve">7. İlgili mevzuat</w:t>
      </w:r>
    </w:p>
    <w:p>
      <w:r>
        <w:rPr>
          <w:b/>
        </w:rPr>
        <w:t xml:space="preserve">• </w:t>
      </w:r>
      <w:r>
        <w:t xml:space="preserve">İşyeri Bina ve Eklentilerinde Alınacak Sağlık ve Güvenlik Önlemlerine İlişkin Yönetmelik md. 5: işveren bina, eklenti ve ekipmanların, özellikle havalandırma sistemlerinin hijyen şartlarını sağlayacak şekilde düzenli temizliğini yapar ve kayıt tutar</w:t>
      </w:r>
    </w:p>
    <w:p>
      <w:r>
        <w:rPr>
          <w:b/>
        </w:rPr>
        <w:t xml:space="preserve">• </w:t>
      </w:r>
      <w:r>
        <w:t xml:space="preserve">Kimyasal Maddelerle Çalışmalarda Sağlık ve Güvenlik Önlemleri Hakkında Yönetmelik md. 6: risk değerlendirmesinde tedarikçiden alınan Türkçe güvenlik bilgi formu dikkate alınır</w:t>
      </w:r>
    </w:p>
    <w:p>
      <w:pPr>
        <w:pStyle w:val="Heading1"/>
      </w:pPr>
      <w:r>
        <w:t xml:space="preserve">8. Revizyon geçmişi</w:t>
      </w:r>
    </w:p>
    <w:tbl>
      <w:tblPr>
        <w:tblStyle w:val="Tablo"/>
        <w:tblW w:w="90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3000"/>
        <w:gridCol w:w="6000"/>
      </w:tblGrid>
      <w:tr>
        <w:tc>
          <w:tcPr>
            <w:tcW w:w="3000" w:type="dxa"/>
          </w:tcPr>
          <w:p>
            <w:r>
              <w:rPr>
                <w:b/>
              </w:rPr>
              <w:t xml:space="preserve">Rev. 00</w:t>
            </w:r>
          </w:p>
        </w:tc>
        <w:tc>
          <w:tcPr>
            <w:tcW w:w="6000" w:type="dxa"/>
          </w:tcPr>
          <w:p>
            <w:r>
              <w:t xml:space="preserve">İlk yayın</w:t>
            </w:r>
          </w:p>
        </w:tc>
      </w:tr>
    </w:tbl>
    <w:p>
      <w:r>
        <w:t xml:space="preserve"/>
      </w:r>
    </w:p>
    <w:p>
      <w:r>
        <w:t xml:space="preserve">Bu şablon Affalp tarafından genel bilgi amacıyla hazırlanmıştır. Süre ve tutarlar örnektir; şirketinizin yapısına ve güncel mevzuata göre uyarlayın.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80" w:after="100"/>
      <w:outlineLvl w:val="0"/>
    </w:pPr>
    <w:rPr>
      <w:b/>
      <w:sz w:val="28"/>
    </w:rPr>
  </w:style>
  <w:style w:type="paragraph" w:styleId="Heading2">
    <w:name w:val="heading 2"/>
    <w:basedOn w:val="Normal"/>
    <w:next w:val="Normal"/>
    <w:pPr>
      <w:keepNext/>
      <w:spacing w:before="200" w:after="80"/>
      <w:outlineLvl w:val="1"/>
    </w:pPr>
    <w:rPr>
      <w:b/>
      <w:sz w:val="24"/>
    </w:rPr>
  </w:style>
  <w:style w:type="table" w:styleId="Tablo">
    <w:name w:val="Tablo"/>
    <w:tblPr>
      <w:tblBorders>
        <w:top w:val="single" w:sz="4" w:color="999999"/>
        <w:left w:val="single" w:sz="4" w:color="999999"/>
        <w:bottom w:val="single" w:sz="4" w:color="999999"/>
        <w:right w:val="single" w:sz="4" w:color="999999"/>
        <w:insideH w:val="single" w:sz="4" w:color="999999"/>
        <w:insideV w:val="single" w:sz="4" w:color="999999"/>
      </w:tblBorders>
      <w:tblCellMar>
        <w:left w:w="10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