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[ŞİRKET ADI]</w:t>
      </w:r>
    </w:p>
    <w:p>
      <w:pPr>
        <w:pStyle w:val="Title"/>
      </w:pPr>
      <w:r>
        <w:t xml:space="preserve">TEMİZLİK HİZMETİ DENETİM PROSEDÜRÜ</w:t>
      </w:r>
    </w:p>
    <w:tbl>
      <w:tblPr>
        <w:tblStyle w:val="Tablo"/>
        <w:tblW w:w="90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3000"/>
        <w:gridCol w:w="6000"/>
      </w:tblGrid>
      <w:tr>
        <w:tc>
          <w:tcPr>
            <w:tcW w:w="3000" w:type="dxa"/>
          </w:tcPr>
          <w:p>
            <w:r>
              <w:rPr>
                <w:b/>
              </w:rPr>
              <w:t xml:space="preserve">Doküman no</w:t>
            </w:r>
          </w:p>
        </w:tc>
        <w:tc>
          <w:tcPr>
            <w:tcW w:w="6000" w:type="dxa"/>
          </w:tcPr>
          <w:p>
            <w: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Revizyon no / tarihi</w:t>
            </w:r>
          </w:p>
        </w:tc>
        <w:tc>
          <w:tcPr>
            <w:tcW w:w="6000" w:type="dxa"/>
          </w:tcPr>
          <w:p>
            <w: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Yürürlük tarihi</w:t>
            </w:r>
          </w:p>
        </w:tc>
        <w:tc>
          <w:tcPr>
            <w:tcW w:w="6000" w:type="dxa"/>
          </w:tcPr>
          <w:p>
            <w: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Hazırlayan</w:t>
            </w:r>
          </w:p>
        </w:tc>
        <w:tc>
          <w:tcPr>
            <w:tcW w:w="6000" w:type="dxa"/>
          </w:tcPr>
          <w:p>
            <w: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Onaylayan</w:t>
            </w:r>
          </w:p>
        </w:tc>
        <w:tc>
          <w:tcPr>
            <w:tcW w:w="6000" w:type="dxa"/>
          </w:tcPr>
          <w:p>
            <w: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1. Amaç</w:t>
      </w:r>
    </w:p>
    <w:p>
      <w:r>
        <w:t xml:space="preserve">Hizmet alınan temizlik firmasının işi sözleşmeye ve temizlik planına uygun yapıp yapmadığını düzenli denetimle ölçmek, uygunsuzlukları kapatmak ve sonuçları fatura kontrolüne ve firma değerlendirmesine aktarmak.</w:t>
      </w:r>
    </w:p>
    <w:p>
      <w:pPr>
        <w:pStyle w:val="Heading1"/>
      </w:pPr>
      <w:r>
        <w:t xml:space="preserve">2. Kapsam</w:t>
      </w:r>
    </w:p>
    <w:p>
      <w:r>
        <w:t xml:space="preserve">Sözleşmeyle temizlik hizmeti alınan tüm lokasyonlar; denetimi yapan idari işler ve lokasyon sorumluları ile temizlik firması.</w:t>
      </w:r>
    </w:p>
    <w:p>
      <w:pPr>
        <w:pStyle w:val="Heading1"/>
      </w:pPr>
      <w:r>
        <w:t xml:space="preserve">3. Tanımlar</w:t>
      </w:r>
    </w:p>
    <w:tbl>
      <w:tblPr>
        <w:tblStyle w:val="Tablo"/>
        <w:tblW w:w="90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3000"/>
        <w:gridCol w:w="6000"/>
      </w:tblGrid>
      <w:tr>
        <w:tc>
          <w:tcPr>
            <w:tcW w:w="3000" w:type="dxa"/>
          </w:tcPr>
          <w:p>
            <w:r>
              <w:rPr>
                <w:b/>
              </w:rPr>
              <w:t xml:space="preserve">Denetim formu</w:t>
            </w:r>
          </w:p>
        </w:tc>
        <w:tc>
          <w:tcPr>
            <w:tcW w:w="6000" w:type="dxa"/>
          </w:tcPr>
          <w:p>
            <w:r>
              <w:t xml:space="preserve">Alan bazında kontrol maddelerinden oluşan, her maddenin uygun, uygun değil ya da yok olarak işaretlendiği form.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Denetim puanı</w:t>
            </w:r>
          </w:p>
        </w:tc>
        <w:tc>
          <w:tcPr>
            <w:tcW w:w="6000" w:type="dxa"/>
          </w:tcPr>
          <w:p>
            <w:r>
              <w:t xml:space="preserve">Uygun maddelerin, değerlendirilen maddelere oranı (yüzde). “Yok” işaretli maddeler hesaba katılmaz.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Uygunsuzluk</w:t>
            </w:r>
          </w:p>
        </w:tc>
        <w:tc>
          <w:tcPr>
            <w:tcW w:w="6000" w:type="dxa"/>
          </w:tcPr>
          <w:p>
            <w:r>
              <w:t xml:space="preserve">Denetimde “uygun değil” çıkan ve giderilmesi gereken madde.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Puantaj</w:t>
            </w:r>
          </w:p>
        </w:tc>
        <w:tc>
          <w:tcPr>
            <w:tcW w:w="6000" w:type="dxa"/>
          </w:tcPr>
          <w:p>
            <w:r>
              <w:t xml:space="preserve">Firmanın sahada çalıştırdığı personelin gün bazındaki kaydı.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4. Sorumluluklar</w:t>
      </w:r>
    </w:p>
    <w:tbl>
      <w:tblPr>
        <w:tblStyle w:val="Tablo"/>
        <w:tblW w:w="90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3000"/>
        <w:gridCol w:w="6000"/>
      </w:tblGrid>
      <w:tr>
        <w:tc>
          <w:tcPr>
            <w:tcW w:w="3000" w:type="dxa"/>
          </w:tcPr>
          <w:p>
            <w:r>
              <w:rPr>
                <w:b/>
              </w:rPr>
              <w:t xml:space="preserve">İdari işler</w:t>
            </w:r>
          </w:p>
        </w:tc>
        <w:tc>
          <w:tcPr>
            <w:tcW w:w="6000" w:type="dxa"/>
          </w:tcPr>
          <w:p>
            <w:r>
              <w:t xml:space="preserve">Denetim formunu ve takvimini belirler, aylık sonuçları değerlendirir, kesinti ve itirazı fatura kontrolüne aktarır.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Lokasyon sorumlusu / denetçi</w:t>
            </w:r>
          </w:p>
        </w:tc>
        <w:tc>
          <w:tcPr>
            <w:tcW w:w="6000" w:type="dxa"/>
          </w:tcPr>
          <w:p>
            <w:r>
              <w:t xml:space="preserve">Denetimleri yapar, uygunsuzlukları fotoğrafla kaydeder, kapanışı kontrol eder.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Temizlik firması sorumlusu</w:t>
            </w:r>
          </w:p>
        </w:tc>
        <w:tc>
          <w:tcPr>
            <w:tcW w:w="6000" w:type="dxa"/>
          </w:tcPr>
          <w:p>
            <w:r>
              <w:t xml:space="preserve">Uygunsuzlukları belirlenen sürede giderir, puantajı her ay iletir.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Yönetim</w:t>
            </w:r>
          </w:p>
        </w:tc>
        <w:tc>
          <w:tcPr>
            <w:tcW w:w="6000" w:type="dxa"/>
          </w:tcPr>
          <w:p>
            <w:r>
              <w:t xml:space="preserve">Sözleşme yenilemesinde firma performansını değerlendirir.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5. Uygulama</w:t>
      </w:r>
    </w:p>
    <w:p>
      <w:pPr>
        <w:pStyle w:val="Heading2"/>
      </w:pPr>
      <w:r>
        <w:t xml:space="preserve">5.1. Denetim formu</w:t>
      </w:r>
    </w:p>
    <w:p>
      <w:r>
        <w:rPr>
          <w:b/>
        </w:rPr>
        <w:t xml:space="preserve">5.1.1. </w:t>
      </w:r>
      <w:r>
        <w:t xml:space="preserve">Form alan bazında hazırlanır (tuvalet, ofis, ortak alan, yemekhane); her satır tek bir kontrol maddesidir (örnek: “Lavabo ve armatürler kireçsiz”, “Çöp kutuları boşaltılmış”).</w:t>
      </w:r>
    </w:p>
    <w:p>
      <w:r>
        <w:rPr>
          <w:b/>
        </w:rPr>
        <w:t xml:space="preserve">5.1.2. </w:t>
      </w:r>
      <w:r>
        <w:t xml:space="preserve">Maddeler sözleşmedeki ve temizlik planındaki işlerle uyumlu tutulur.</w:t>
      </w:r>
    </w:p>
    <w:p>
      <w:pPr>
        <w:pStyle w:val="Heading2"/>
      </w:pPr>
      <w:r>
        <w:t xml:space="preserve">5.2. Denetim takvimi</w:t>
      </w:r>
    </w:p>
    <w:p>
      <w:r>
        <w:rPr>
          <w:b/>
        </w:rPr>
        <w:t xml:space="preserve">5.2.1. </w:t>
      </w:r>
      <w:r>
        <w:t xml:space="preserve">Örnek sıklık (şirketinize göre değiştirin): her lokasyonda haftada en az bir denetim; yüksek riskli alanlarda daha sık.</w:t>
      </w:r>
    </w:p>
    <w:p>
      <w:r>
        <w:rPr>
          <w:b/>
        </w:rPr>
        <w:t xml:space="preserve">5.2.2. </w:t>
      </w:r>
      <w:r>
        <w:t xml:space="preserve">Denetimlerin bir kısmı önceden haber verilmeden yapılır.</w:t>
      </w:r>
    </w:p>
    <w:p>
      <w:pPr>
        <w:pStyle w:val="Heading2"/>
      </w:pPr>
      <w:r>
        <w:t xml:space="preserve">5.3. Denetimin yapılması</w:t>
      </w:r>
    </w:p>
    <w:p>
      <w:r>
        <w:rPr>
          <w:b/>
        </w:rPr>
        <w:t xml:space="preserve">5.3.1. </w:t>
      </w:r>
      <w:r>
        <w:t xml:space="preserve">Denetçi her maddeyi uygun, uygun değil ya da yok olarak işaretler; uygun olmayan maddeye açıklama ve fotoğraf ekler.</w:t>
      </w:r>
    </w:p>
    <w:p>
      <w:r>
        <w:rPr>
          <w:b/>
        </w:rPr>
        <w:t xml:space="preserve">5.3.2. </w:t>
      </w:r>
      <w:r>
        <w:t xml:space="preserve">Puan = uygun madde sayısı ÷ (uygun + uygun değil) × 100. Örnek: 40 madde, 2'si yok, 3'ü uygun değil → 35 ÷ 38 = %92.</w:t>
      </w:r>
    </w:p>
    <w:p>
      <w:pPr>
        <w:pStyle w:val="Heading2"/>
      </w:pPr>
      <w:r>
        <w:t xml:space="preserve">5.4. Uygunsuzluğun kapatılması</w:t>
      </w:r>
    </w:p>
    <w:p>
      <w:r>
        <w:rPr>
          <w:b/>
        </w:rPr>
        <w:t xml:space="preserve">5.4.1. </w:t>
      </w:r>
      <w:r>
        <w:t xml:space="preserve">Her uygunsuzluk firmaya bildirilir; örnek giderme süresi aynı gün ya da 24 saat.</w:t>
      </w:r>
    </w:p>
    <w:p>
      <w:r>
        <w:rPr>
          <w:b/>
        </w:rPr>
        <w:t xml:space="preserve">5.4.2. </w:t>
      </w:r>
      <w:r>
        <w:t xml:space="preserve">Giderildiğinde denetçi kontrol eder ve kapanış tarihini yazar; kapanmayan uygunsuzluk bir sonraki denetimde öncelikli kontrol edilir.</w:t>
      </w:r>
    </w:p>
    <w:p>
      <w:pPr>
        <w:pStyle w:val="Heading2"/>
      </w:pPr>
      <w:r>
        <w:t xml:space="preserve">5.5. Puantaj ve personel</w:t>
      </w:r>
    </w:p>
    <w:p>
      <w:r>
        <w:rPr>
          <w:b/>
        </w:rPr>
        <w:t xml:space="preserve">5.5.1. </w:t>
      </w:r>
      <w:r>
        <w:t xml:space="preserve">Firmanın aylık puantajı, sözleşmedeki personel sayısıyla karşılaştırılır; eksik personel-gün tespit edilir.</w:t>
      </w:r>
    </w:p>
    <w:p>
      <w:r>
        <w:rPr>
          <w:b/>
        </w:rPr>
        <w:t xml:space="preserve">5.5.2. </w:t>
      </w:r>
      <w:r>
        <w:t xml:space="preserve">Firma personelinin SGK girişleri ve gerekli eğitim belgeleri dönemsel olarak istenir.</w:t>
      </w:r>
    </w:p>
    <w:p>
      <w:pPr>
        <w:pStyle w:val="Heading2"/>
      </w:pPr>
      <w:r>
        <w:t xml:space="preserve">5.6. Fatura ve kesinti</w:t>
      </w:r>
    </w:p>
    <w:p>
      <w:r>
        <w:rPr>
          <w:b/>
        </w:rPr>
        <w:t xml:space="preserve">5.6.1. </w:t>
      </w:r>
      <w:r>
        <w:t xml:space="preserve">Sözleşmede kesinti maddesi varsa (örnek: denetim puanı belirli eşiğin altında, eksik personel-gün), dönemin kesintisi hesaplanır ve faturada düşülüp düşülmediği kontrol edilir.</w:t>
      </w:r>
    </w:p>
    <w:p>
      <w:r>
        <w:rPr>
          <w:b/>
        </w:rPr>
        <w:t xml:space="preserve">5.6.2. </w:t>
      </w:r>
      <w:r>
        <w:t xml:space="preserve">Fatura, puantaj ve kesinti ile birlikte hizmet alımı fatura kontrol prosedürüne göre onaylanır.</w:t>
      </w:r>
    </w:p>
    <w:p>
      <w:pPr>
        <w:pStyle w:val="Heading2"/>
      </w:pPr>
      <w:r>
        <w:t xml:space="preserve">5.7. Aylık değerlendirme</w:t>
      </w:r>
    </w:p>
    <w:p>
      <w:r>
        <w:rPr>
          <w:b/>
        </w:rPr>
        <w:t xml:space="preserve">5.7.1. </w:t>
      </w:r>
      <w:r>
        <w:t xml:space="preserve">Lokasyon ve firma bazında aylık ortalama puan, uygunsuzluk sayısı, ortalama kapanış süresi ve kesinti tutarı raporlanır.</w:t>
      </w:r>
    </w:p>
    <w:p>
      <w:r>
        <w:rPr>
          <w:b/>
        </w:rPr>
        <w:t xml:space="preserve">5.7.2. </w:t>
      </w:r>
      <w:r>
        <w:t xml:space="preserve">Sonuçlar firmayla aylık toplantıda paylaşılır; sözleşme yenilemesinde kullanılır.</w:t>
      </w:r>
    </w:p>
    <w:p>
      <w:pPr>
        <w:pStyle w:val="Heading1"/>
      </w:pPr>
      <w:r>
        <w:t xml:space="preserve">6. Kayıtlar</w:t>
      </w:r>
    </w:p>
    <w:p>
      <w:r>
        <w:rPr>
          <w:b/>
        </w:rPr>
        <w:t xml:space="preserve">• </w:t>
      </w:r>
      <w:r>
        <w:t xml:space="preserve">Denetim formları ve fotoğraflar</w:t>
      </w:r>
    </w:p>
    <w:p>
      <w:r>
        <w:rPr>
          <w:b/>
        </w:rPr>
        <w:t xml:space="preserve">• </w:t>
      </w:r>
      <w:r>
        <w:t xml:space="preserve">Uygunsuzluk ve kapanış kayıtları</w:t>
      </w:r>
    </w:p>
    <w:p>
      <w:r>
        <w:rPr>
          <w:b/>
        </w:rPr>
        <w:t xml:space="preserve">• </w:t>
      </w:r>
      <w:r>
        <w:t xml:space="preserve">Aylık puantaj ve karşılaştırma</w:t>
      </w:r>
    </w:p>
    <w:p>
      <w:r>
        <w:rPr>
          <w:b/>
        </w:rPr>
        <w:t xml:space="preserve">• </w:t>
      </w:r>
      <w:r>
        <w:t xml:space="preserve">Kesinti hesapları</w:t>
      </w:r>
    </w:p>
    <w:p>
      <w:r>
        <w:rPr>
          <w:b/>
        </w:rPr>
        <w:t xml:space="preserve">• </w:t>
      </w:r>
      <w:r>
        <w:t xml:space="preserve">Aylık değerlendirme raporu ve toplantı notları</w:t>
      </w:r>
    </w:p>
    <w:p>
      <w:pPr>
        <w:pStyle w:val="Heading1"/>
      </w:pPr>
      <w:r>
        <w:t xml:space="preserve">7. İlgili mevzuat</w:t>
      </w:r>
    </w:p>
    <w:p>
      <w:r>
        <w:rPr>
          <w:b/>
        </w:rPr>
        <w:t xml:space="preserve">• </w:t>
      </w:r>
      <w:r>
        <w:t xml:space="preserve">Katma Değer Vergisi Kanunu md. 9 ve KDV Genel Uygulama Tebliği: temizlik hizmetinde KDV tevkifatı 9/10</w:t>
      </w:r>
    </w:p>
    <w:p>
      <w:r>
        <w:rPr>
          <w:b/>
        </w:rPr>
        <w:t xml:space="preserve">• </w:t>
      </w:r>
      <w:r>
        <w:t xml:space="preserve">Türk Ticaret Kanunu md. 21/2: faturaya 8 gün içinde itiraz edilmezse içeriği kabul edilmiş sayılır</w:t>
      </w:r>
    </w:p>
    <w:p>
      <w:pPr>
        <w:pStyle w:val="Heading1"/>
      </w:pPr>
      <w:r>
        <w:t xml:space="preserve">8. Revizyon geçmişi</w:t>
      </w:r>
    </w:p>
    <w:tbl>
      <w:tblPr>
        <w:tblStyle w:val="Tablo"/>
        <w:tblW w:w="90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3000"/>
        <w:gridCol w:w="6000"/>
      </w:tblGrid>
      <w:tr>
        <w:tc>
          <w:tcPr>
            <w:tcW w:w="3000" w:type="dxa"/>
          </w:tcPr>
          <w:p>
            <w:r>
              <w:rPr>
                <w:b/>
              </w:rPr>
              <w:t xml:space="preserve">Rev. 00</w:t>
            </w:r>
          </w:p>
        </w:tc>
        <w:tc>
          <w:tcPr>
            <w:tcW w:w="6000" w:type="dxa"/>
          </w:tcPr>
          <w:p>
            <w:r>
              <w:t xml:space="preserve">İlk yayın</w:t>
            </w:r>
          </w:p>
        </w:tc>
      </w:tr>
    </w:tbl>
    <w:p>
      <w:r>
        <w:t xml:space="preserve"/>
      </w:r>
    </w:p>
    <w:p>
      <w:r>
        <w:t xml:space="preserve">Bu şablon Affalp tarafından genel bilgi amacıyla hazırlanmıştır. Süre ve tutarlar örnektir; şirketinizin yapısına ve güncel mevzuata göre uyarlayın.</w:t>
      </w: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tr-T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0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80" w:after="100"/>
      <w:outlineLvl w:val="0"/>
    </w:pPr>
    <w:rPr>
      <w:b/>
      <w:sz w:val="28"/>
    </w:rPr>
  </w:style>
  <w:style w:type="paragraph" w:styleId="Heading2">
    <w:name w:val="heading 2"/>
    <w:basedOn w:val="Normal"/>
    <w:next w:val="Normal"/>
    <w:pPr>
      <w:keepNext/>
      <w:spacing w:before="200" w:after="80"/>
      <w:outlineLvl w:val="1"/>
    </w:pPr>
    <w:rPr>
      <w:b/>
      <w:sz w:val="24"/>
    </w:rPr>
  </w:style>
  <w:style w:type="table" w:styleId="Tablo">
    <w:name w:val="Tablo"/>
    <w:tblPr>
      <w:tblBorders>
        <w:top w:val="single" w:sz="4" w:color="999999"/>
        <w:left w:val="single" w:sz="4" w:color="999999"/>
        <w:bottom w:val="single" w:sz="4" w:color="999999"/>
        <w:right w:val="single" w:sz="4" w:color="999999"/>
        <w:insideH w:val="single" w:sz="4" w:color="999999"/>
        <w:insideV w:val="single" w:sz="4" w:color="999999"/>
      </w:tblBorders>
      <w:tblCellMar>
        <w:left w:w="100" w:type="dxa"/>
        <w:right w:w="100" w:type="dxa"/>
      </w:tblCellMar>
    </w:tbl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