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[ŞİRKET ADI]</w:t>
      </w:r>
    </w:p>
    <w:p>
      <w:pPr>
        <w:pStyle w:val="Title"/>
      </w:pPr>
      <w:r>
        <w:t xml:space="preserve">SATINALMA VE TEKLİF ALMA PROSEDÜRÜ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Doküman no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Revizyon no /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Yürürlük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Hazırlayan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1. Amaç</w:t>
      </w:r>
    </w:p>
    <w:p>
      <w:r>
        <w:t xml:space="preserve">Mal ve hizmet alımlarının ihtiyaca uygun, rekabetçi fiyatla, yetki sınırları içinde ve izlenebilir şekilde yapılmasını sağlamak.</w:t>
      </w:r>
    </w:p>
    <w:p>
      <w:pPr>
        <w:pStyle w:val="Heading1"/>
      </w:pPr>
      <w:r>
        <w:t xml:space="preserve">2. Kapsam</w:t>
      </w:r>
    </w:p>
    <w:p>
      <w:r>
        <w:t xml:space="preserve">Şirket adına yapılan tüm mal ve hizmet alımları; mutemet avansıyla yapılan küçük harcamalar ayrı prosedüre tabidir.</w:t>
      </w:r>
    </w:p>
    <w:p>
      <w:pPr>
        <w:pStyle w:val="Heading1"/>
      </w:pPr>
      <w:r>
        <w:t xml:space="preserve">3. Tanımlar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Satınalma talebi</w:t>
            </w:r>
          </w:p>
        </w:tc>
        <w:tc>
          <w:tcPr>
            <w:tcW w:w="6000" w:type="dxa"/>
          </w:tcPr>
          <w:p>
            <w:r>
              <w:t xml:space="preserve">İhtiyaç sahibinin malzeme ya da hizmeti, miktarı ve gerekçesiyle yazılı talebi.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Teklif eşiği</w:t>
            </w:r>
          </w:p>
        </w:tc>
        <w:tc>
          <w:tcPr>
            <w:tcW w:w="6000" w:type="dxa"/>
          </w:tcPr>
          <w:p>
            <w:r>
              <w:t xml:space="preserve">Kaç teklif alınacağını belirleyen tutar sınırı.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 yetkisi</w:t>
            </w:r>
          </w:p>
        </w:tc>
        <w:tc>
          <w:tcPr>
            <w:tcW w:w="6000" w:type="dxa"/>
          </w:tcPr>
          <w:p>
            <w:r>
              <w:t xml:space="preserve">Bir kişinin onaylayabileceği en yüksek satınalma tutarı.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4. Sorumluluklar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Talep eden</w:t>
            </w:r>
          </w:p>
        </w:tc>
        <w:tc>
          <w:tcPr>
            <w:tcW w:w="6000" w:type="dxa"/>
          </w:tcPr>
          <w:p>
            <w:r>
              <w:t xml:space="preserve">İhtiyacı, teknik özelliği ve miktarı açıkça yazar; teslimde kontrol eder.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Satınalma / idari işler</w:t>
            </w:r>
          </w:p>
        </w:tc>
        <w:tc>
          <w:tcPr>
            <w:tcW w:w="6000" w:type="dxa"/>
          </w:tcPr>
          <w:p>
            <w:r>
              <w:t xml:space="preserve">Teklifleri toplar, karşılaştırır, gerekçeyi yazar, siparişi verir ve teslimi izler.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Onaycılar</w:t>
            </w:r>
          </w:p>
        </w:tc>
        <w:tc>
          <w:tcPr>
            <w:tcW w:w="6000" w:type="dxa"/>
          </w:tcPr>
          <w:p>
            <w:r>
              <w:t xml:space="preserve">Kendi yetki sınırındaki talepleri bütçe ve gerekçe açısından onaylar ya da reddeder.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Muhasebe</w:t>
            </w:r>
          </w:p>
        </w:tc>
        <w:tc>
          <w:tcPr>
            <w:tcW w:w="6000" w:type="dxa"/>
          </w:tcPr>
          <w:p>
            <w:r>
              <w:t xml:space="preserve">Faturayı sipariş ve teslimle eşleştirerek ödemeyi yapar.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5. Uygulama</w:t>
      </w:r>
    </w:p>
    <w:p>
      <w:pPr>
        <w:pStyle w:val="Heading2"/>
      </w:pPr>
      <w:r>
        <w:t xml:space="preserve">5.1. Talep</w:t>
      </w:r>
    </w:p>
    <w:p>
      <w:r>
        <w:rPr>
          <w:b/>
        </w:rPr>
        <w:t xml:space="preserve">5.1.1. </w:t>
      </w:r>
      <w:r>
        <w:t xml:space="preserve">Talep; ürün/hizmet, miktar, istenen tarih, masraf merkezi ve gerekçeyle açılır.</w:t>
      </w:r>
    </w:p>
    <w:p>
      <w:pPr>
        <w:pStyle w:val="Heading2"/>
      </w:pPr>
      <w:r>
        <w:t xml:space="preserve">5.2. Teklif</w:t>
      </w:r>
    </w:p>
    <w:p>
      <w:r>
        <w:rPr>
          <w:b/>
        </w:rPr>
        <w:t xml:space="preserve">5.2.1. </w:t>
      </w:r>
      <w:r>
        <w:t xml:space="preserve">Örnek eşikler (şirketinize göre değiştirin): 10.000 TL'ye kadar tek teklif; 10.000–100.000 TL arası en az iki; 100.000 TL üzeri en az üç yazılı teklif.</w:t>
      </w:r>
    </w:p>
    <w:p>
      <w:r>
        <w:rPr>
          <w:b/>
        </w:rPr>
        <w:t xml:space="preserve">5.2.2. </w:t>
      </w:r>
      <w:r>
        <w:t xml:space="preserve">Teklifler aynı teknik şartname üzerinden istenir; teklif tarihi, geçerlilik süresi, teslim süresi ve ödeme vadesi yazılır.</w:t>
      </w:r>
    </w:p>
    <w:p>
      <w:pPr>
        <w:pStyle w:val="Heading2"/>
      </w:pPr>
      <w:r>
        <w:t xml:space="preserve">5.3. Karşılaştırma ve seçim</w:t>
      </w:r>
    </w:p>
    <w:p>
      <w:r>
        <w:rPr>
          <w:b/>
        </w:rPr>
        <w:t xml:space="preserve">5.3.1. </w:t>
      </w:r>
      <w:r>
        <w:t xml:space="preserve">Teklifler KDV hariç toplam, teslim süresi, vade ve garanti ile yan yana konur.</w:t>
      </w:r>
    </w:p>
    <w:p>
      <w:r>
        <w:rPr>
          <w:b/>
        </w:rPr>
        <w:t xml:space="preserve">5.3.2. </w:t>
      </w:r>
      <w:r>
        <w:t xml:space="preserve">En düşük teklif seçilmezse gerekçe (kalite, teslim süresi, servis, önceki performans) yazılır.</w:t>
      </w:r>
    </w:p>
    <w:p>
      <w:pPr>
        <w:pStyle w:val="Heading2"/>
      </w:pPr>
      <w:r>
        <w:t xml:space="preserve">5.4. Onay</w:t>
      </w:r>
    </w:p>
    <w:p>
      <w:r>
        <w:rPr>
          <w:b/>
        </w:rPr>
        <w:t xml:space="preserve">5.4.1. </w:t>
      </w:r>
      <w:r>
        <w:t xml:space="preserve">Talep tutarına göre onay akışından geçer. Örnek: 25.000 TL'ye kadar birim yöneticisi; 25.000–250.000 TL idari işler müdürü; üzeri genel müdür.</w:t>
      </w:r>
    </w:p>
    <w:p>
      <w:r>
        <w:rPr>
          <w:b/>
        </w:rPr>
        <w:t xml:space="preserve">5.4.2. </w:t>
      </w:r>
      <w:r>
        <w:t xml:space="preserve">Bütçesi olmayan ya da bütçeyi aşan talepte bütçe sorumlusunun onayı da alınır.</w:t>
      </w:r>
    </w:p>
    <w:p>
      <w:pPr>
        <w:pStyle w:val="Heading2"/>
      </w:pPr>
      <w:r>
        <w:t xml:space="preserve">5.5. Sipariş</w:t>
      </w:r>
    </w:p>
    <w:p>
      <w:r>
        <w:rPr>
          <w:b/>
        </w:rPr>
        <w:t xml:space="preserve">5.5.1. </w:t>
      </w:r>
      <w:r>
        <w:t xml:space="preserve">Onaylanan talep için yazılı sipariş verilir; fiyat, miktar, teslim yeri ve tarihi siparişte yazar.</w:t>
      </w:r>
    </w:p>
    <w:p>
      <w:pPr>
        <w:pStyle w:val="Heading2"/>
      </w:pPr>
      <w:r>
        <w:t xml:space="preserve">5.6. Teslim alma</w:t>
      </w:r>
    </w:p>
    <w:p>
      <w:r>
        <w:rPr>
          <w:b/>
        </w:rPr>
        <w:t xml:space="preserve">5.6.1. </w:t>
      </w:r>
      <w:r>
        <w:t xml:space="preserve">Mal ya da hizmet, talep eden tarafından sipariş ile karşılaştırılarak teslim alınır; eksik ve hatalı teslim kayda geçer.</w:t>
      </w:r>
    </w:p>
    <w:p>
      <w:r>
        <w:rPr>
          <w:b/>
        </w:rPr>
        <w:t xml:space="preserve">5.6.2. </w:t>
      </w:r>
      <w:r>
        <w:t xml:space="preserve">Fatura, sipariş ve teslim kaydıyla eşleştirilmeden ödemeye gönderilmez.</w:t>
      </w:r>
    </w:p>
    <w:p>
      <w:pPr>
        <w:pStyle w:val="Heading1"/>
      </w:pPr>
      <w:r>
        <w:t xml:space="preserve">6. Kayıtlar</w:t>
      </w:r>
    </w:p>
    <w:p>
      <w:r>
        <w:rPr>
          <w:b/>
        </w:rPr>
        <w:t xml:space="preserve">• </w:t>
      </w:r>
      <w:r>
        <w:t xml:space="preserve">Satınalma talep formu</w:t>
      </w:r>
    </w:p>
    <w:p>
      <w:r>
        <w:rPr>
          <w:b/>
        </w:rPr>
        <w:t xml:space="preserve">• </w:t>
      </w:r>
      <w:r>
        <w:t xml:space="preserve">Teklifler ve teklif karşılaştırma tablosu</w:t>
      </w:r>
    </w:p>
    <w:p>
      <w:r>
        <w:rPr>
          <w:b/>
        </w:rPr>
        <w:t xml:space="preserve">• </w:t>
      </w:r>
      <w:r>
        <w:t xml:space="preserve">Seçim gerekçesi</w:t>
      </w:r>
    </w:p>
    <w:p>
      <w:r>
        <w:rPr>
          <w:b/>
        </w:rPr>
        <w:t xml:space="preserve">• </w:t>
      </w:r>
      <w:r>
        <w:t xml:space="preserve">Onay kayıtları</w:t>
      </w:r>
    </w:p>
    <w:p>
      <w:r>
        <w:rPr>
          <w:b/>
        </w:rPr>
        <w:t xml:space="preserve">• </w:t>
      </w:r>
      <w:r>
        <w:t xml:space="preserve">Sipariş</w:t>
      </w:r>
    </w:p>
    <w:p>
      <w:r>
        <w:rPr>
          <w:b/>
        </w:rPr>
        <w:t xml:space="preserve">• </w:t>
      </w:r>
      <w:r>
        <w:t xml:space="preserve">Teslim tutanağı</w:t>
      </w:r>
    </w:p>
    <w:p>
      <w:pPr>
        <w:pStyle w:val="Heading1"/>
      </w:pPr>
      <w:r>
        <w:t xml:space="preserve">7. İlgili mevzuat</w:t>
      </w:r>
    </w:p>
    <w:p>
      <w:r>
        <w:rPr>
          <w:b/>
        </w:rPr>
        <w:t xml:space="preserve">• </w:t>
      </w:r>
      <w:r>
        <w:t xml:space="preserve">Türk Ticaret Kanunu md. 21/2: alınan faturaya 8 gün içinde itiraz edilmezse içeriği kabul edilmiş sayılır</w:t>
      </w:r>
    </w:p>
    <w:p>
      <w:pPr>
        <w:pStyle w:val="Heading1"/>
      </w:pPr>
      <w:r>
        <w:t xml:space="preserve">8. Revizyon geçmişi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Rev. 00</w:t>
            </w:r>
          </w:p>
        </w:tc>
        <w:tc>
          <w:tcPr>
            <w:tcW w:w="6000" w:type="dxa"/>
          </w:tcPr>
          <w:p>
            <w:r>
              <w:t xml:space="preserve">İlk yayın</w:t>
            </w:r>
          </w:p>
        </w:tc>
      </w:tr>
    </w:tbl>
    <w:p>
      <w:r>
        <w:t xml:space="preserve"/>
      </w:r>
    </w:p>
    <w:p>
      <w:r>
        <w:t xml:space="preserve">Bu şablon Affalp tarafından genel bilgi amacıyla hazırlanmıştır. Süre ve tutarlar örnektir; şirketinizin yapısına ve güncel mevzuata göre uyarlayın.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8"/>
    </w:rPr>
  </w:style>
  <w:style w:type="paragraph" w:styleId="Heading2">
    <w:name w:val="heading 2"/>
    <w:basedOn w:val="Normal"/>
    <w:next w:val="Normal"/>
    <w:pPr>
      <w:keepNext/>
      <w:spacing w:before="200" w:after="80"/>
      <w:outlineLvl w:val="1"/>
    </w:pPr>
    <w:rPr>
      <w:b/>
      <w:sz w:val="24"/>
    </w:rPr>
  </w:style>
  <w:style w:type="table" w:styleId="Tablo">
    <w:name w:val="Tablo"/>
    <w:tblPr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  <w:tblCellMar>
        <w:left w:w="10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