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[ŞİRKET ADI]</w:t>
      </w:r>
    </w:p>
    <w:p>
      <w:pPr>
        <w:pStyle w:val="Title"/>
      </w:pPr>
      <w:r>
        <w:t xml:space="preserve">HİZMET ALIMI FATURASI KONTROL VE ONAY PROSEDÜRÜ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Doküman no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Revizyon no /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Yürürlük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Hazırlayan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1. Amaç</w:t>
      </w:r>
    </w:p>
    <w:p>
      <w:r>
        <w:t xml:space="preserve">Hizmet alımı faturalarının sözleşme şartlarına ve gerçekleşen hizmete uygunluğunu ödeme öncesinde kontrol etmek, farkları zamanında itiraza dönüştürmek.</w:t>
      </w:r>
    </w:p>
    <w:p>
      <w:pPr>
        <w:pStyle w:val="Heading1"/>
      </w:pPr>
      <w:r>
        <w:t xml:space="preserve">2. Kapsam</w:t>
      </w:r>
    </w:p>
    <w:p>
      <w:r>
        <w:t xml:space="preserve">Sözleşmeye bağlı tüm hizmet alımı faturaları: yemek, temizlik, özel güvenlik, personel servisi, araç kiralama, bakım ve benzeri.</w:t>
      </w:r>
    </w:p>
    <w:p>
      <w:pPr>
        <w:pStyle w:val="Heading1"/>
      </w:pPr>
      <w:r>
        <w:t xml:space="preserve">3. Tanımlar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Beklenen tutar</w:t>
            </w:r>
          </w:p>
        </w:tc>
        <w:tc>
          <w:tcPr>
            <w:tcW w:w="6000" w:type="dxa"/>
          </w:tcPr>
          <w:p>
            <w:r>
              <w:t xml:space="preserve">Sözleşmedeki birim fiyat ile ölçülen miktarın çarpımı; varsa kesintiler düşülmüş hâli.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Ölçüm</w:t>
            </w:r>
          </w:p>
        </w:tc>
        <w:tc>
          <w:tcPr>
            <w:tcW w:w="6000" w:type="dxa"/>
          </w:tcPr>
          <w:p>
            <w:r>
              <w:t xml:space="preserve">Öğün, personel-gün, sefer, km gibi faturalanan miktarın sahadaki kaydı.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Kesinti</w:t>
            </w:r>
          </w:p>
        </w:tc>
        <w:tc>
          <w:tcPr>
            <w:tcW w:w="6000" w:type="dxa"/>
          </w:tcPr>
          <w:p>
            <w:r>
              <w:t xml:space="preserve">Sözleşmede tanımlı aksaklık (eksik personel, geç servis, denetim uygunsuzluğu) için faturadan düşülecek tutar.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4. Sorumluluklar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İdari işler</w:t>
            </w:r>
          </w:p>
        </w:tc>
        <w:tc>
          <w:tcPr>
            <w:tcW w:w="6000" w:type="dxa"/>
          </w:tcPr>
          <w:p>
            <w:r>
              <w:t xml:space="preserve">Faturayı kaydeder, sözleşme ve ölçümle karşılaştırır, farkı ve kesintiyi hesaplar, itirazı yazar.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Hizmetin sahadaki sorumlusu</w:t>
            </w:r>
          </w:p>
        </w:tc>
        <w:tc>
          <w:tcPr>
            <w:tcW w:w="6000" w:type="dxa"/>
          </w:tcPr>
          <w:p>
            <w:r>
              <w:t xml:space="preserve">Ölçüm verisini (puantaj, öğün sayısı, sefer) ve aksaklık kayıtlarını dönem sonunda iletir.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Onaycılar</w:t>
            </w:r>
          </w:p>
        </w:tc>
        <w:tc>
          <w:tcPr>
            <w:tcW w:w="6000" w:type="dxa"/>
          </w:tcPr>
          <w:p>
            <w:r>
              <w:t xml:space="preserve">Kontrolden geçen faturayı tutar eşiğine göre onaylar.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Muhasebe</w:t>
            </w:r>
          </w:p>
        </w:tc>
        <w:tc>
          <w:tcPr>
            <w:tcW w:w="6000" w:type="dxa"/>
          </w:tcPr>
          <w:p>
            <w:r>
              <w:t xml:space="preserve">Onaylı faturayı kaydeder; tevkifat ve ödeme vadesini uygular.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5. Uygulama</w:t>
      </w:r>
    </w:p>
    <w:p>
      <w:pPr>
        <w:pStyle w:val="Heading2"/>
      </w:pPr>
      <w:r>
        <w:t xml:space="preserve">5.1. Kayıt</w:t>
      </w:r>
    </w:p>
    <w:p>
      <w:r>
        <w:rPr>
          <w:b/>
        </w:rPr>
        <w:t xml:space="preserve">5.1.1. </w:t>
      </w:r>
      <w:r>
        <w:t xml:space="preserve">Fatura geldiği gün geliş tarihiyle kayda alınır; e-fatura ise satırları sözleşme kalemleriyle eşleştirilir.</w:t>
      </w:r>
    </w:p>
    <w:p>
      <w:r>
        <w:rPr>
          <w:b/>
        </w:rPr>
        <w:t xml:space="preserve">5.1.2. </w:t>
      </w:r>
      <w:r>
        <w:t xml:space="preserve">İtiraz için son gün (geliş + 8 gün) kayda yazılır.</w:t>
      </w:r>
    </w:p>
    <w:p>
      <w:pPr>
        <w:pStyle w:val="Heading2"/>
      </w:pPr>
      <w:r>
        <w:t xml:space="preserve">5.2. Ölçüm verisi</w:t>
      </w:r>
    </w:p>
    <w:p>
      <w:r>
        <w:rPr>
          <w:b/>
        </w:rPr>
        <w:t xml:space="preserve">5.2.1. </w:t>
      </w:r>
      <w:r>
        <w:t xml:space="preserve">Dönemin ölçüm verisi sahadan alınır: yemekhane öğün sayısı, puantaj, sefer listesi, km kaydı.</w:t>
      </w:r>
    </w:p>
    <w:p>
      <w:r>
        <w:rPr>
          <w:b/>
        </w:rPr>
        <w:t xml:space="preserve">5.2.2. </w:t>
      </w:r>
      <w:r>
        <w:t xml:space="preserve">Ölçüm yoksa sabit bedelli kalemler sözleşme miktarıyla, miktara bağlı kalemler eksik ölçüm notuyla kontrol edilir.</w:t>
      </w:r>
    </w:p>
    <w:p>
      <w:pPr>
        <w:pStyle w:val="Heading2"/>
      </w:pPr>
      <w:r>
        <w:t xml:space="preserve">5.3. Kontrol</w:t>
      </w:r>
    </w:p>
    <w:p>
      <w:r>
        <w:rPr>
          <w:b/>
        </w:rPr>
        <w:t xml:space="preserve">5.3.1. </w:t>
      </w:r>
      <w:r>
        <w:t xml:space="preserve">Her satır için beklenen tutar hesaplanır: dönemdeki fiyat × ölçülen miktar; ay ortasında fiyat değiştiyse gün oranıyla.</w:t>
      </w:r>
    </w:p>
    <w:p>
      <w:r>
        <w:rPr>
          <w:b/>
        </w:rPr>
        <w:t xml:space="preserve">5.3.2. </w:t>
      </w:r>
      <w:r>
        <w:t xml:space="preserve">Fark, miktar farkı ve fiyat farkı olarak ayrılır.</w:t>
      </w:r>
    </w:p>
    <w:p>
      <w:r>
        <w:rPr>
          <w:b/>
        </w:rPr>
        <w:t xml:space="preserve">5.3.3. </w:t>
      </w:r>
      <w:r>
        <w:t xml:space="preserve">Dönemdeki kesinti olayları sözleşmedeki kurala göre hesaplanır ve faturada düşülüp düşülmediğine bakılır.</w:t>
      </w:r>
    </w:p>
    <w:p>
      <w:r>
        <w:rPr>
          <w:b/>
        </w:rPr>
        <w:t xml:space="preserve">5.3.4. </w:t>
      </w:r>
      <w:r>
        <w:t xml:space="preserve">Aynı dönem ve kalemin başka faturada da faturalanıp faturalanmadığı kontrol edilir.</w:t>
      </w:r>
    </w:p>
    <w:p>
      <w:r>
        <w:rPr>
          <w:b/>
        </w:rPr>
        <w:t xml:space="preserve">5.3.5. </w:t>
      </w:r>
      <w:r>
        <w:t xml:space="preserve">KDV ve varsa tevkifat oranı kontrol edilir (temizlik ve güvenlikte 9/10, yemek ve servis taşımacılığında 5/10).</w:t>
      </w:r>
    </w:p>
    <w:p>
      <w:pPr>
        <w:pStyle w:val="Heading2"/>
      </w:pPr>
      <w:r>
        <w:t xml:space="preserve">5.4. İtiraz</w:t>
      </w:r>
    </w:p>
    <w:p>
      <w:r>
        <w:rPr>
          <w:b/>
        </w:rPr>
        <w:t xml:space="preserve">5.4.1. </w:t>
      </w:r>
      <w:r>
        <w:t xml:space="preserve">Fark varsa itiraz, satır ve tutar gerekçesiyle tedarikçiye 8 günlük süre içinde yazılı (e-posta, KEP ya da noter) iletilir.</w:t>
      </w:r>
    </w:p>
    <w:p>
      <w:r>
        <w:rPr>
          <w:b/>
        </w:rPr>
        <w:t xml:space="preserve">5.4.2. </w:t>
      </w:r>
      <w:r>
        <w:t xml:space="preserve">Tedarikçinin cevabı ve düzeltme faturası ya da iade faturası aynı kayda bağlanır.</w:t>
      </w:r>
    </w:p>
    <w:p>
      <w:pPr>
        <w:pStyle w:val="Heading2"/>
      </w:pPr>
      <w:r>
        <w:t xml:space="preserve">5.5. Onay ve gönderim</w:t>
      </w:r>
    </w:p>
    <w:p>
      <w:r>
        <w:rPr>
          <w:b/>
        </w:rPr>
        <w:t xml:space="preserve">5.5.1. </w:t>
      </w:r>
      <w:r>
        <w:t xml:space="preserve">Farkı olmayan ya da farkı çözülen fatura tutar eşiğine göre onaya gönderilir.</w:t>
      </w:r>
    </w:p>
    <w:p>
      <w:r>
        <w:rPr>
          <w:b/>
        </w:rPr>
        <w:t xml:space="preserve">5.5.2. </w:t>
      </w:r>
      <w:r>
        <w:t xml:space="preserve">Onaylanan fatura muhasebeye gönderilir ve tekrar gönderilmemek üzere işaretlenir.</w:t>
      </w:r>
    </w:p>
    <w:p>
      <w:pPr>
        <w:pStyle w:val="Heading1"/>
      </w:pPr>
      <w:r>
        <w:t xml:space="preserve">6. Kayıtlar</w:t>
      </w:r>
    </w:p>
    <w:p>
      <w:r>
        <w:rPr>
          <w:b/>
        </w:rPr>
        <w:t xml:space="preserve">• </w:t>
      </w:r>
      <w:r>
        <w:t xml:space="preserve">Fatura ve ekleri</w:t>
      </w:r>
    </w:p>
    <w:p>
      <w:r>
        <w:rPr>
          <w:b/>
        </w:rPr>
        <w:t xml:space="preserve">• </w:t>
      </w:r>
      <w:r>
        <w:t xml:space="preserve">Dönem ölçüm verisi</w:t>
      </w:r>
    </w:p>
    <w:p>
      <w:r>
        <w:rPr>
          <w:b/>
        </w:rPr>
        <w:t xml:space="preserve">• </w:t>
      </w:r>
      <w:r>
        <w:t xml:space="preserve">Kontrol sonucu (beklenen, faturalanan, fark)</w:t>
      </w:r>
    </w:p>
    <w:p>
      <w:r>
        <w:rPr>
          <w:b/>
        </w:rPr>
        <w:t xml:space="preserve">• </w:t>
      </w:r>
      <w:r>
        <w:t xml:space="preserve">Kesinti olayı kayıtları</w:t>
      </w:r>
    </w:p>
    <w:p>
      <w:r>
        <w:rPr>
          <w:b/>
        </w:rPr>
        <w:t xml:space="preserve">• </w:t>
      </w:r>
      <w:r>
        <w:t xml:space="preserve">İtiraz yazısı ve tedarikçi cevabı</w:t>
      </w:r>
    </w:p>
    <w:p>
      <w:r>
        <w:rPr>
          <w:b/>
        </w:rPr>
        <w:t xml:space="preserve">• </w:t>
      </w:r>
      <w:r>
        <w:t xml:space="preserve">Onay kayıtları</w:t>
      </w:r>
    </w:p>
    <w:p>
      <w:pPr>
        <w:pStyle w:val="Heading1"/>
      </w:pPr>
      <w:r>
        <w:t xml:space="preserve">7. İlgili mevzuat</w:t>
      </w:r>
    </w:p>
    <w:p>
      <w:r>
        <w:rPr>
          <w:b/>
        </w:rPr>
        <w:t xml:space="preserve">• </w:t>
      </w:r>
      <w:r>
        <w:t xml:space="preserve">Türk Ticaret Kanunu md. 21/2: faturaya 8 gün içinde itiraz edilmezse içeriği kabul edilmiş sayılır</w:t>
      </w:r>
    </w:p>
    <w:p>
      <w:r>
        <w:rPr>
          <w:b/>
        </w:rPr>
        <w:t xml:space="preserve">• </w:t>
      </w:r>
      <w:r>
        <w:t xml:space="preserve">Katma Değer Vergisi Kanunu md. 9 ve KDV Genel Uygulama Tebliği: kısmi tevkifat</w:t>
      </w:r>
    </w:p>
    <w:p>
      <w:pPr>
        <w:pStyle w:val="Heading1"/>
      </w:pPr>
      <w:r>
        <w:t xml:space="preserve">8. Revizyon geçmişi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Rev. 00</w:t>
            </w:r>
          </w:p>
        </w:tc>
        <w:tc>
          <w:tcPr>
            <w:tcW w:w="6000" w:type="dxa"/>
          </w:tcPr>
          <w:p>
            <w:r>
              <w:t xml:space="preserve">İlk yayın</w:t>
            </w:r>
          </w:p>
        </w:tc>
      </w:tr>
    </w:tbl>
    <w:p>
      <w:r>
        <w:t xml:space="preserve"/>
      </w:r>
    </w:p>
    <w:p>
      <w:r>
        <w:t xml:space="preserve">Bu şablon Affalp tarafından genel bilgi amacıyla hazırlanmıştır. Süre ve tutarlar örnektir; şirketinizin yapısına ve güncel mevzuata göre uyarlayın.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8"/>
    </w:rPr>
  </w:style>
  <w:style w:type="paragraph" w:styleId="Heading2">
    <w:name w:val="heading 2"/>
    <w:basedOn w:val="Normal"/>
    <w:next w:val="Normal"/>
    <w:pPr>
      <w:keepNext/>
      <w:spacing w:before="200" w:after="80"/>
      <w:outlineLvl w:val="1"/>
    </w:pPr>
    <w:rPr>
      <w:b/>
      <w:sz w:val="24"/>
    </w:rPr>
  </w:style>
  <w:style w:type="table" w:styleId="Tablo">
    <w:name w:val="Tablo"/>
    <w:tblPr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  <w:tblCellMar>
        <w:left w:w="10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