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GELEN-GİDEN EVRAK (MUHABERAT)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Şirkete gelen ve şirketten giden evrakın kayıt altına alınmasını, doğru kişiye zamanında ulaşmasını ve süreli evrakın kaçırılmamasını sağlamak.</w:t>
      </w:r>
    </w:p>
    <w:p>
      <w:pPr>
        <w:pStyle w:val="Heading1"/>
      </w:pPr>
      <w:r>
        <w:t xml:space="preserve">2. Kapsam</w:t>
      </w:r>
    </w:p>
    <w:p>
      <w:r>
        <w:t xml:space="preserve">Posta, kargo, elden teslim, KEP ve e-tebligat yoluyla gelen ve giden tüm resmî ve ticari yazışmalar; personel özlük evrakı insan kaynakları prosedürüne tabidir.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Süreli evrak</w:t>
            </w:r>
          </w:p>
        </w:tc>
        <w:tc>
          <w:tcPr>
            <w:tcW w:w="6000" w:type="dxa"/>
          </w:tcPr>
          <w:p>
            <w:r>
              <w:t xml:space="preserve">Cevap, itiraz ya da işlem için yasal ya da sözleşmesel süre başlatan evrak: tebligat, ihtarname, resmî yazı.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E-tebligat</w:t>
            </w:r>
          </w:p>
        </w:tc>
        <w:tc>
          <w:tcPr>
            <w:tcW w:w="6000" w:type="dxa"/>
          </w:tcPr>
          <w:p>
            <w:r>
              <w:t xml:space="preserve">Ulusal Elektronik Tebligat Sistemi üzerinden yapılan tebligat; anonim ve limited şirketler için zorunludur.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KEP</w:t>
            </w:r>
          </w:p>
        </w:tc>
        <w:tc>
          <w:tcPr>
            <w:tcW w:w="6000" w:type="dxa"/>
          </w:tcPr>
          <w:p>
            <w:r>
              <w:t xml:space="preserve">Kayıtlı elektronik posta; gönderim ve teslimi hukuken ispatlanabilen e-posta.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Muhaberat / idari işler</w:t>
            </w:r>
          </w:p>
        </w:tc>
        <w:tc>
          <w:tcPr>
            <w:tcW w:w="6000" w:type="dxa"/>
          </w:tcPr>
          <w:p>
            <w:r>
              <w:t xml:space="preserve">Evrakı kaydeder, numaralandırır, sorumlusuna iletir; e-tebligat ve KEP kutusunu her iş günü kontrol eder; süreli evrakın son gününü izler.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Evrakın sorumlusu</w:t>
            </w:r>
          </w:p>
        </w:tc>
        <w:tc>
          <w:tcPr>
            <w:tcW w:w="6000" w:type="dxa"/>
          </w:tcPr>
          <w:p>
            <w:r>
              <w:t xml:space="preserve">Evrakı teslim alır, gereğini yapar, cevabı süresinde hazırlar.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Hukuk / yönetim</w:t>
            </w:r>
          </w:p>
        </w:tc>
        <w:tc>
          <w:tcPr>
            <w:tcW w:w="6000" w:type="dxa"/>
          </w:tcPr>
          <w:p>
            <w:r>
              <w:t xml:space="preserve">İhtarname, dava ve resmî kurum yazılarında cevabı onaylar.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Gelen evrak</w:t>
      </w:r>
    </w:p>
    <w:p>
      <w:r>
        <w:rPr>
          <w:b/>
        </w:rPr>
        <w:t xml:space="preserve">5.1.1. </w:t>
      </w:r>
      <w:r>
        <w:t xml:space="preserve">Evrak geldiği gün kayda alınır: tarih, gönderen, konu, geliş yolu, sayfa sayısı; evraka kayıt numarası verilir.</w:t>
      </w:r>
    </w:p>
    <w:p>
      <w:r>
        <w:rPr>
          <w:b/>
        </w:rPr>
        <w:t xml:space="preserve">5.1.2. </w:t>
      </w:r>
      <w:r>
        <w:t xml:space="preserve">Taranmış kopya kayda eklenir; asıl evrak sorumlusuna imzayla teslim edilir.</w:t>
      </w:r>
    </w:p>
    <w:p>
      <w:pPr>
        <w:pStyle w:val="Heading2"/>
      </w:pPr>
      <w:r>
        <w:t xml:space="preserve">5.2. E-tebligat ve KEP</w:t>
      </w:r>
    </w:p>
    <w:p>
      <w:r>
        <w:rPr>
          <w:b/>
        </w:rPr>
        <w:t xml:space="preserve">5.2.1. </w:t>
      </w:r>
      <w:r>
        <w:t xml:space="preserve">E-tebligat adresi ve KEP kutusu her iş günü kontrol edilir; birden fazla yetkili tanımlanır, izinde kontrol aksamaz.</w:t>
      </w:r>
    </w:p>
    <w:p>
      <w:r>
        <w:rPr>
          <w:b/>
        </w:rPr>
        <w:t xml:space="preserve">5.2.2. </w:t>
      </w:r>
      <w:r>
        <w:t xml:space="preserve">E-tebligat, adrese ulaştığı günü izleyen beşinci günün sonunda tebliğ edilmiş sayılır; cevap süresi bu tarihten hesaplanır.</w:t>
      </w:r>
    </w:p>
    <w:p>
      <w:pPr>
        <w:pStyle w:val="Heading2"/>
      </w:pPr>
      <w:r>
        <w:t xml:space="preserve">5.3. Süreli evrak</w:t>
      </w:r>
    </w:p>
    <w:p>
      <w:r>
        <w:rPr>
          <w:b/>
        </w:rPr>
        <w:t xml:space="preserve">5.3.1. </w:t>
      </w:r>
      <w:r>
        <w:t xml:space="preserve">Süreli evrakta tebliğ tarihi ve cevap için son gün kayda yazılır; son günden önce hatırlatma kurulur.</w:t>
      </w:r>
    </w:p>
    <w:p>
      <w:r>
        <w:rPr>
          <w:b/>
        </w:rPr>
        <w:t xml:space="preserve">5.3.2. </w:t>
      </w:r>
      <w:r>
        <w:t xml:space="preserve">Son gün yaklaştığında sorumlu ve yöneticisi uyarılır; cevap verildiğinde kayıt kapatılır.</w:t>
      </w:r>
    </w:p>
    <w:p>
      <w:pPr>
        <w:pStyle w:val="Heading2"/>
      </w:pPr>
      <w:r>
        <w:t xml:space="preserve">5.4. Giden evrak</w:t>
      </w:r>
    </w:p>
    <w:p>
      <w:r>
        <w:rPr>
          <w:b/>
        </w:rPr>
        <w:t xml:space="preserve">5.4.1. </w:t>
      </w:r>
      <w:r>
        <w:t xml:space="preserve">Giden evrak numara alır, bir kopyası saklanır; gönderim yolu (posta, kargo, KEP, noter) ve takip numarası kaydedilir.</w:t>
      </w:r>
    </w:p>
    <w:p>
      <w:r>
        <w:rPr>
          <w:b/>
        </w:rPr>
        <w:t xml:space="preserve">5.4.2. </w:t>
      </w:r>
      <w:r>
        <w:t xml:space="preserve">Teslim bilgisi (iadeli taahhüt kartı, KEP teslim raporu) kayda eklenir.</w:t>
      </w:r>
    </w:p>
    <w:p>
      <w:pPr>
        <w:pStyle w:val="Heading2"/>
      </w:pPr>
      <w:r>
        <w:t xml:space="preserve">5.5. Arşiv</w:t>
      </w:r>
    </w:p>
    <w:p>
      <w:r>
        <w:rPr>
          <w:b/>
        </w:rPr>
        <w:t xml:space="preserve">5.5.1. </w:t>
      </w:r>
      <w:r>
        <w:t xml:space="preserve">İşlemi biten evrak dosya planına göre arşive kaldırılır; saklama süresi dolmadan imha edilmez.</w:t>
      </w:r>
    </w:p>
    <w:p>
      <w:r>
        <w:rPr>
          <w:b/>
        </w:rPr>
        <w:t xml:space="preserve">5.5.2. </w:t>
      </w:r>
      <w:r>
        <w:t xml:space="preserve">Ticari defter ve belgeler Türk Ticaret Kanunu'na göre 10 yıl saklanır.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Gelen evrak kayıt defteri</w:t>
      </w:r>
    </w:p>
    <w:p>
      <w:r>
        <w:rPr>
          <w:b/>
        </w:rPr>
        <w:t xml:space="preserve">• </w:t>
      </w:r>
      <w:r>
        <w:t xml:space="preserve">Giden evrak kayıt defteri</w:t>
      </w:r>
    </w:p>
    <w:p>
      <w:r>
        <w:rPr>
          <w:b/>
        </w:rPr>
        <w:t xml:space="preserve">• </w:t>
      </w:r>
      <w:r>
        <w:t xml:space="preserve">Zimmet/teslim kaydı</w:t>
      </w:r>
    </w:p>
    <w:p>
      <w:r>
        <w:rPr>
          <w:b/>
        </w:rPr>
        <w:t xml:space="preserve">• </w:t>
      </w:r>
      <w:r>
        <w:t xml:space="preserve">Süreli evrak takip listesi</w:t>
      </w:r>
    </w:p>
    <w:p>
      <w:r>
        <w:rPr>
          <w:b/>
        </w:rPr>
        <w:t xml:space="preserve">• </w:t>
      </w:r>
      <w:r>
        <w:t xml:space="preserve">Gönderi ve teslim belgeleri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Tebligat Kanunu md. 7/a ve Elektronik Tebligat Yönetmeliği: e-tebligat beşinci günün sonunda yapılmış sayılır</w:t>
      </w:r>
    </w:p>
    <w:p>
      <w:r>
        <w:rPr>
          <w:b/>
        </w:rPr>
        <w:t xml:space="preserve">• </w:t>
      </w:r>
      <w:r>
        <w:t xml:space="preserve">Türk Ticaret Kanunu md. 82: ticari defter ve belgeler 10 yıl saklanır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